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8A1" w:rsidRPr="00055B49" w:rsidRDefault="008F08A1" w:rsidP="008F08A1">
      <w:pPr>
        <w:pStyle w:val="PageHeader"/>
        <w:rPr>
          <w:rFonts w:ascii="Trebuchet MS" w:hAnsi="Trebuchet MS"/>
          <w:b/>
          <w:sz w:val="36"/>
          <w:szCs w:val="48"/>
        </w:rPr>
      </w:pPr>
      <w:r>
        <w:rPr>
          <w:rFonts w:ascii="Trebuchet MS" w:hAnsi="Trebuchet MS"/>
          <w:b/>
          <w:sz w:val="36"/>
          <w:szCs w:val="48"/>
        </w:rPr>
        <w:t xml:space="preserve">Conceptual Unit </w:t>
      </w:r>
      <w:r w:rsidRPr="00055B49">
        <w:rPr>
          <w:rFonts w:ascii="Trebuchet MS" w:hAnsi="Trebuchet MS"/>
          <w:b/>
          <w:sz w:val="36"/>
          <w:szCs w:val="48"/>
        </w:rPr>
        <w:t>Design Checklist – Stage 1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textAlignment w:val="center"/>
        <w:rPr>
          <w:rFonts w:ascii="Trebuchet MS" w:hAnsi="Trebuchet MS"/>
          <w:b/>
          <w:color w:val="000000"/>
          <w:sz w:val="28"/>
          <w:szCs w:val="26"/>
          <w:u w:val="single"/>
          <w:lang/>
        </w:rPr>
      </w:pP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900"/>
        <w:textAlignment w:val="center"/>
        <w:rPr>
          <w:rFonts w:ascii="Trebuchet MS" w:hAnsi="Trebuchet MS"/>
          <w:b/>
          <w:color w:val="000000"/>
          <w:sz w:val="28"/>
          <w:szCs w:val="26"/>
          <w:u w:val="single"/>
          <w:lang/>
        </w:rPr>
      </w:pPr>
      <w:r w:rsidRPr="00055B49">
        <w:rPr>
          <w:rFonts w:ascii="Trebuchet MS" w:hAnsi="Trebuchet MS"/>
          <w:b/>
          <w:color w:val="000000"/>
          <w:sz w:val="28"/>
          <w:szCs w:val="26"/>
          <w:u w:val="single"/>
          <w:lang/>
        </w:rPr>
        <w:t>Goals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 xml:space="preserve">_____ Long-term transfer goals are identified. 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-18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 xml:space="preserve">_____ </w:t>
      </w:r>
      <w:proofErr w:type="gramStart"/>
      <w:r w:rsidRPr="00055B49">
        <w:rPr>
          <w:rFonts w:ascii="Trebuchet MS" w:hAnsi="Trebuchet MS"/>
          <w:color w:val="000000"/>
          <w:szCs w:val="26"/>
          <w:lang/>
        </w:rPr>
        <w:t>Only</w:t>
      </w:r>
      <w:proofErr w:type="gramEnd"/>
      <w:r w:rsidRPr="00055B49">
        <w:rPr>
          <w:rFonts w:ascii="Trebuchet MS" w:hAnsi="Trebuchet MS"/>
          <w:color w:val="000000"/>
          <w:szCs w:val="26"/>
          <w:lang/>
        </w:rPr>
        <w:t xml:space="preserve"> those goals or content standards that are directly relevant to the unit </w:t>
      </w:r>
      <w:r w:rsidRPr="00055B49">
        <w:rPr>
          <w:rFonts w:ascii="Trebuchet MS" w:hAnsi="Trebuchet MS"/>
          <w:i/>
          <w:color w:val="000000"/>
          <w:szCs w:val="26"/>
          <w:lang/>
        </w:rPr>
        <w:t xml:space="preserve">and </w:t>
      </w:r>
      <w:r w:rsidRPr="00055B49">
        <w:rPr>
          <w:rFonts w:ascii="Trebuchet MS" w:hAnsi="Trebuchet MS"/>
          <w:color w:val="000000"/>
          <w:szCs w:val="26"/>
          <w:lang/>
        </w:rPr>
        <w:t>assessed in Stage 2 are listed.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textAlignment w:val="center"/>
        <w:rPr>
          <w:rFonts w:ascii="Trebuchet MS" w:hAnsi="Trebuchet MS"/>
          <w:color w:val="000000"/>
          <w:szCs w:val="26"/>
          <w:lang/>
        </w:rPr>
      </w:pP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b/>
          <w:color w:val="000000"/>
          <w:sz w:val="28"/>
          <w:szCs w:val="26"/>
          <w:u w:val="single"/>
          <w:lang/>
        </w:rPr>
        <w:t>Understandings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-18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 xml:space="preserve">_____ </w:t>
      </w:r>
      <w:proofErr w:type="gramStart"/>
      <w:r w:rsidRPr="00055B49">
        <w:rPr>
          <w:rFonts w:ascii="Trebuchet MS" w:hAnsi="Trebuchet MS"/>
          <w:color w:val="000000"/>
          <w:szCs w:val="26"/>
          <w:lang/>
        </w:rPr>
        <w:t>The</w:t>
      </w:r>
      <w:proofErr w:type="gramEnd"/>
      <w:r w:rsidRPr="00055B49">
        <w:rPr>
          <w:rFonts w:ascii="Trebuchet MS" w:hAnsi="Trebuchet MS"/>
          <w:color w:val="000000"/>
          <w:szCs w:val="26"/>
          <w:lang/>
        </w:rPr>
        <w:t xml:space="preserve"> understandings derive from and/or are aligned with appropriate goals (e.g., transfer goals, standards). 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-18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 xml:space="preserve">_____ </w:t>
      </w:r>
      <w:proofErr w:type="gramStart"/>
      <w:r w:rsidRPr="00055B49">
        <w:rPr>
          <w:rFonts w:ascii="Trebuchet MS" w:hAnsi="Trebuchet MS"/>
          <w:color w:val="000000"/>
          <w:szCs w:val="26"/>
          <w:lang/>
        </w:rPr>
        <w:t>The</w:t>
      </w:r>
      <w:proofErr w:type="gramEnd"/>
      <w:r w:rsidRPr="00055B49">
        <w:rPr>
          <w:rFonts w:ascii="Trebuchet MS" w:hAnsi="Trebuchet MS"/>
          <w:color w:val="000000"/>
          <w:szCs w:val="26"/>
          <w:lang/>
        </w:rPr>
        <w:t xml:space="preserve"> understandings are both overarching (to promote transfer of “big ideas”) and topical (specific enough to focus   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-18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ab/>
      </w:r>
      <w:proofErr w:type="gramStart"/>
      <w:r w:rsidRPr="00055B49">
        <w:rPr>
          <w:rFonts w:ascii="Trebuchet MS" w:hAnsi="Trebuchet MS"/>
          <w:color w:val="000000"/>
          <w:szCs w:val="26"/>
          <w:lang/>
        </w:rPr>
        <w:t>teaching</w:t>
      </w:r>
      <w:proofErr w:type="gramEnd"/>
      <w:r w:rsidRPr="00055B49">
        <w:rPr>
          <w:rFonts w:ascii="Trebuchet MS" w:hAnsi="Trebuchet MS"/>
          <w:color w:val="000000"/>
          <w:szCs w:val="26"/>
          <w:lang/>
        </w:rPr>
        <w:t>, learning, and assessment).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 xml:space="preserve">_____ </w:t>
      </w:r>
      <w:proofErr w:type="gramStart"/>
      <w:r w:rsidRPr="00055B49">
        <w:rPr>
          <w:rFonts w:ascii="Trebuchet MS" w:hAnsi="Trebuchet MS"/>
          <w:color w:val="000000"/>
          <w:szCs w:val="26"/>
          <w:lang/>
        </w:rPr>
        <w:t>The</w:t>
      </w:r>
      <w:proofErr w:type="gramEnd"/>
      <w:r w:rsidRPr="00055B49">
        <w:rPr>
          <w:rFonts w:ascii="Trebuchet MS" w:hAnsi="Trebuchet MS"/>
          <w:color w:val="000000"/>
          <w:szCs w:val="26"/>
          <w:lang/>
        </w:rPr>
        <w:t xml:space="preserve"> understandings are framed as full-sentence generalizations in response to the stem: </w:t>
      </w:r>
      <w:r w:rsidRPr="00055B49">
        <w:rPr>
          <w:rFonts w:ascii="Trebuchet MS" w:hAnsi="Trebuchet MS"/>
          <w:i/>
          <w:color w:val="000000"/>
          <w:szCs w:val="26"/>
          <w:lang/>
        </w:rPr>
        <w:t>“Students will understand</w:t>
      </w:r>
      <w:r w:rsidRPr="00055B49">
        <w:rPr>
          <w:rFonts w:ascii="Trebuchet MS" w:hAnsi="Trebuchet MS"/>
          <w:color w:val="000000"/>
          <w:szCs w:val="26"/>
          <w:lang/>
        </w:rPr>
        <w:t xml:space="preserve"> </w:t>
      </w:r>
      <w:r w:rsidRPr="00055B49">
        <w:rPr>
          <w:rFonts w:ascii="Trebuchet MS" w:hAnsi="Trebuchet MS"/>
          <w:i/>
          <w:color w:val="000000"/>
          <w:szCs w:val="26"/>
          <w:lang/>
        </w:rPr>
        <w:t>that</w:t>
      </w:r>
      <w:r w:rsidRPr="00055B49">
        <w:rPr>
          <w:rFonts w:ascii="Trebuchet MS" w:hAnsi="Trebuchet MS"/>
          <w:color w:val="000000"/>
          <w:szCs w:val="26"/>
          <w:lang/>
        </w:rPr>
        <w:t>…”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 xml:space="preserve">_____ </w:t>
      </w:r>
      <w:proofErr w:type="gramStart"/>
      <w:r w:rsidRPr="00055B49">
        <w:rPr>
          <w:rFonts w:ascii="Trebuchet MS" w:hAnsi="Trebuchet MS"/>
          <w:color w:val="000000"/>
          <w:szCs w:val="26"/>
          <w:lang/>
        </w:rPr>
        <w:t>The</w:t>
      </w:r>
      <w:proofErr w:type="gramEnd"/>
      <w:r w:rsidRPr="00055B49">
        <w:rPr>
          <w:rFonts w:ascii="Trebuchet MS" w:hAnsi="Trebuchet MS"/>
          <w:color w:val="000000"/>
          <w:szCs w:val="26"/>
          <w:lang/>
        </w:rPr>
        <w:t xml:space="preserve"> understandings are not obvious or true by definition (</w:t>
      </w:r>
      <w:proofErr w:type="spellStart"/>
      <w:r w:rsidRPr="00055B49">
        <w:rPr>
          <w:rFonts w:ascii="Trebuchet MS" w:hAnsi="Trebuchet MS"/>
          <w:color w:val="000000"/>
          <w:szCs w:val="26"/>
          <w:lang/>
        </w:rPr>
        <w:t>i.e</w:t>
      </w:r>
      <w:proofErr w:type="spellEnd"/>
      <w:r w:rsidRPr="00055B49">
        <w:rPr>
          <w:rFonts w:ascii="Trebuchet MS" w:hAnsi="Trebuchet MS"/>
          <w:color w:val="000000"/>
          <w:szCs w:val="26"/>
          <w:lang/>
        </w:rPr>
        <w:t xml:space="preserve">, factual knowledge). They need to be “uncovered” (rather than merely stated) in order for students to come to understand them.  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720" w:hanging="900"/>
        <w:textAlignment w:val="center"/>
        <w:rPr>
          <w:rFonts w:ascii="Trebuchet MS" w:hAnsi="Trebuchet MS"/>
          <w:b/>
          <w:color w:val="000000"/>
          <w:sz w:val="28"/>
          <w:szCs w:val="26"/>
          <w:u w:val="single"/>
          <w:lang/>
        </w:rPr>
      </w:pP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b/>
          <w:color w:val="000000"/>
          <w:sz w:val="28"/>
          <w:szCs w:val="26"/>
          <w:u w:val="single"/>
          <w:lang/>
        </w:rPr>
        <w:t>Essential Questions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>_____ Overarching essential questions clarify the big ideas and connect to other topics/contexts, while topical essential questions frame and guide inquiry into the topic.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 xml:space="preserve">_____ </w:t>
      </w:r>
      <w:proofErr w:type="gramStart"/>
      <w:r w:rsidRPr="00055B49">
        <w:rPr>
          <w:rFonts w:ascii="Trebuchet MS" w:hAnsi="Trebuchet MS"/>
          <w:color w:val="000000"/>
          <w:szCs w:val="26"/>
          <w:lang/>
        </w:rPr>
        <w:t>The</w:t>
      </w:r>
      <w:proofErr w:type="gramEnd"/>
      <w:r w:rsidRPr="00055B49">
        <w:rPr>
          <w:rFonts w:ascii="Trebuchet MS" w:hAnsi="Trebuchet MS"/>
          <w:color w:val="000000"/>
          <w:szCs w:val="26"/>
          <w:lang/>
        </w:rPr>
        <w:t xml:space="preserve"> essential questions are thought-provoking and arguable, rather than “leading” questions that point to the facts.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 xml:space="preserve">_____ </w:t>
      </w:r>
      <w:proofErr w:type="gramStart"/>
      <w:r w:rsidRPr="00055B49">
        <w:rPr>
          <w:rFonts w:ascii="Trebuchet MS" w:hAnsi="Trebuchet MS"/>
          <w:color w:val="000000"/>
          <w:szCs w:val="26"/>
          <w:lang/>
        </w:rPr>
        <w:t>As</w:t>
      </w:r>
      <w:proofErr w:type="gramEnd"/>
      <w:r w:rsidRPr="00055B49">
        <w:rPr>
          <w:rFonts w:ascii="Trebuchet MS" w:hAnsi="Trebuchet MS"/>
          <w:color w:val="000000"/>
          <w:szCs w:val="26"/>
          <w:lang/>
        </w:rPr>
        <w:t xml:space="preserve"> needed, the essential questions are framed in appropriate “kid-language” to make them accessible to students. 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b/>
          <w:color w:val="000000"/>
          <w:sz w:val="28"/>
          <w:szCs w:val="26"/>
          <w:u w:val="single"/>
          <w:lang/>
        </w:rPr>
        <w:t>Knowledge and Skill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720" w:hanging="90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>_____ Key knowledge and skills, needed to meet the standards and enable the desired understandings/transfer, are identified.</w:t>
      </w:r>
    </w:p>
    <w:p w:rsidR="008F08A1" w:rsidRPr="00055B49" w:rsidRDefault="008F08A1" w:rsidP="008F08A1">
      <w:pPr>
        <w:widowControl w:val="0"/>
        <w:tabs>
          <w:tab w:val="left" w:pos="720"/>
        </w:tabs>
        <w:autoSpaceDE w:val="0"/>
        <w:autoSpaceDN w:val="0"/>
        <w:adjustRightInd w:val="0"/>
        <w:spacing w:line="288" w:lineRule="auto"/>
        <w:ind w:left="-180"/>
        <w:textAlignment w:val="center"/>
        <w:rPr>
          <w:rFonts w:ascii="Trebuchet MS" w:hAnsi="Trebuchet MS"/>
          <w:color w:val="000000"/>
          <w:szCs w:val="26"/>
          <w:lang/>
        </w:rPr>
      </w:pPr>
      <w:r w:rsidRPr="00055B49">
        <w:rPr>
          <w:rFonts w:ascii="Trebuchet MS" w:hAnsi="Trebuchet MS"/>
          <w:color w:val="000000"/>
          <w:szCs w:val="26"/>
          <w:lang/>
        </w:rPr>
        <w:t xml:space="preserve">_____ </w:t>
      </w:r>
      <w:proofErr w:type="gramStart"/>
      <w:r w:rsidRPr="00055B49">
        <w:rPr>
          <w:rFonts w:ascii="Trebuchet MS" w:hAnsi="Trebuchet MS"/>
          <w:color w:val="000000"/>
          <w:szCs w:val="26"/>
          <w:lang/>
        </w:rPr>
        <w:t>Only</w:t>
      </w:r>
      <w:proofErr w:type="gramEnd"/>
      <w:r w:rsidRPr="00055B49">
        <w:rPr>
          <w:rFonts w:ascii="Trebuchet MS" w:hAnsi="Trebuchet MS"/>
          <w:color w:val="000000"/>
          <w:szCs w:val="26"/>
          <w:lang/>
        </w:rPr>
        <w:t xml:space="preserve"> knowledge and skills that will be directly taught (in Stage 3) </w:t>
      </w:r>
      <w:r w:rsidRPr="00055B49">
        <w:rPr>
          <w:rFonts w:ascii="Trebuchet MS" w:hAnsi="Trebuchet MS"/>
          <w:i/>
          <w:color w:val="000000"/>
          <w:szCs w:val="26"/>
          <w:lang/>
        </w:rPr>
        <w:t xml:space="preserve">and </w:t>
      </w:r>
      <w:r w:rsidRPr="00055B49">
        <w:rPr>
          <w:rFonts w:ascii="Trebuchet MS" w:hAnsi="Trebuchet MS"/>
          <w:color w:val="000000"/>
          <w:szCs w:val="26"/>
          <w:lang/>
        </w:rPr>
        <w:t>assessed (in Stage 2) are listed.</w:t>
      </w:r>
    </w:p>
    <w:p w:rsidR="00655730" w:rsidRDefault="00655730"/>
    <w:sectPr w:rsidR="00655730" w:rsidSect="001424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8A1" w:rsidRDefault="008F08A1" w:rsidP="008F08A1">
      <w:r>
        <w:separator/>
      </w:r>
    </w:p>
  </w:endnote>
  <w:endnote w:type="continuationSeparator" w:id="0">
    <w:p w:rsidR="008F08A1" w:rsidRDefault="008F08A1" w:rsidP="008F0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ektonMM"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A1" w:rsidRDefault="008F08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A1" w:rsidRDefault="008F08A1">
    <w:pPr>
      <w:pStyle w:val="Footer"/>
    </w:pPr>
    <w:r>
      <w:t>12.16.12</w:t>
    </w: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A1" w:rsidRDefault="008F08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8A1" w:rsidRDefault="008F08A1" w:rsidP="008F08A1">
      <w:r>
        <w:separator/>
      </w:r>
    </w:p>
  </w:footnote>
  <w:footnote w:type="continuationSeparator" w:id="0">
    <w:p w:rsidR="008F08A1" w:rsidRDefault="008F08A1" w:rsidP="008F0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A1" w:rsidRDefault="008F08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A1" w:rsidRDefault="008F08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8A1" w:rsidRDefault="008F08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8F08A1"/>
    <w:rsid w:val="00142476"/>
    <w:rsid w:val="002826AF"/>
    <w:rsid w:val="00655730"/>
    <w:rsid w:val="006D10AD"/>
    <w:rsid w:val="008F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8A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geHeader">
    <w:name w:val="Page Header"/>
    <w:basedOn w:val="Normal"/>
    <w:rsid w:val="008F08A1"/>
    <w:pPr>
      <w:widowControl w:val="0"/>
      <w:tabs>
        <w:tab w:val="left" w:pos="3735"/>
        <w:tab w:val="right" w:leader="underscore" w:pos="10080"/>
      </w:tabs>
      <w:autoSpaceDE w:val="0"/>
      <w:autoSpaceDN w:val="0"/>
      <w:adjustRightInd w:val="0"/>
      <w:spacing w:line="440" w:lineRule="atLeast"/>
      <w:jc w:val="center"/>
      <w:textAlignment w:val="center"/>
    </w:pPr>
    <w:rPr>
      <w:rFonts w:ascii="TektonMM" w:hAnsi="TektonMM"/>
      <w:color w:val="000000"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8F08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8A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08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8A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8A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geHeader">
    <w:name w:val="Page Header"/>
    <w:basedOn w:val="Normal"/>
    <w:rsid w:val="008F08A1"/>
    <w:pPr>
      <w:widowControl w:val="0"/>
      <w:tabs>
        <w:tab w:val="left" w:pos="3735"/>
        <w:tab w:val="right" w:leader="underscore" w:pos="10080"/>
      </w:tabs>
      <w:autoSpaceDE w:val="0"/>
      <w:autoSpaceDN w:val="0"/>
      <w:adjustRightInd w:val="0"/>
      <w:spacing w:line="440" w:lineRule="atLeast"/>
      <w:jc w:val="center"/>
      <w:textAlignment w:val="center"/>
    </w:pPr>
    <w:rPr>
      <w:rFonts w:ascii="TektonMM" w:hAnsi="TektonMM"/>
      <w:color w:val="000000"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8F08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8A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08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8A1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Company>Buena Vista University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Administrator</cp:lastModifiedBy>
  <cp:revision>2</cp:revision>
  <dcterms:created xsi:type="dcterms:W3CDTF">2012-12-19T22:02:00Z</dcterms:created>
  <dcterms:modified xsi:type="dcterms:W3CDTF">2012-12-19T22:02:00Z</dcterms:modified>
</cp:coreProperties>
</file>